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0" w:firstLineChars="0"/>
        <w:jc w:val="left"/>
        <w:rPr>
          <w:rFonts w:ascii="Times New Roman" w:hAnsi="Times New Roman" w:eastAsia="方正黑体_GBK"/>
        </w:rPr>
      </w:pPr>
      <w:r>
        <w:rPr>
          <w:rFonts w:ascii="Times New Roman" w:hAnsi="Times New Roman" w:eastAsia="方正黑体_GBK"/>
        </w:rPr>
        <w:t>附件</w:t>
      </w:r>
    </w:p>
    <w:p>
      <w:pPr>
        <w:pStyle w:val="9"/>
        <w:spacing w:after="0" w:line="480" w:lineRule="exact"/>
        <w:ind w:left="0" w:leftChars="0" w:firstLine="0" w:firstLineChars="0"/>
        <w:jc w:val="center"/>
        <w:rPr>
          <w:rFonts w:hint="eastAsia" w:ascii="Times New Roman" w:hAnsi="Times New Roman" w:eastAsia="方正小标宋简体" w:cs="方正小标宋简体"/>
          <w:sz w:val="44"/>
        </w:rPr>
      </w:pPr>
      <w:r>
        <w:rPr>
          <w:rFonts w:hint="eastAsia" w:eastAsia="方正小标宋简体" w:cs="方正小标宋简体"/>
          <w:sz w:val="44"/>
          <w:lang w:eastAsia="zh-CN"/>
        </w:rPr>
        <w:t>常德市科学技术局</w:t>
      </w:r>
      <w:r>
        <w:rPr>
          <w:rFonts w:hint="eastAsia" w:ascii="Times New Roman" w:hAnsi="Times New Roman" w:eastAsia="方正小标宋简体" w:cs="方正小标宋简体"/>
          <w:sz w:val="44"/>
        </w:rPr>
        <w:t>2026年度涉企行政检查计划</w:t>
      </w:r>
    </w:p>
    <w:p>
      <w:pPr>
        <w:keepNext w:val="0"/>
        <w:keepLines w:val="0"/>
        <w:pageBreakBefore w:val="0"/>
        <w:widowControl w:val="0"/>
        <w:kinsoku/>
        <w:wordWrap/>
        <w:overflowPunct/>
        <w:topLinePunct w:val="0"/>
        <w:autoSpaceDE/>
        <w:autoSpaceDN/>
        <w:bidi w:val="0"/>
        <w:adjustRightInd/>
        <w:snapToGrid/>
        <w:spacing w:before="292" w:beforeLines="50" w:after="160" w:line="440" w:lineRule="exact"/>
        <w:ind w:left="0" w:leftChars="0" w:right="0" w:rightChars="0" w:firstLine="0" w:firstLineChars="0"/>
        <w:jc w:val="left"/>
        <w:textAlignment w:val="auto"/>
        <w:outlineLvl w:val="9"/>
        <w:rPr>
          <w:rFonts w:hint="default" w:ascii="Times New Roman" w:hAnsi="Times New Roman" w:eastAsia="方正小标宋简体" w:cs="方正小标宋简体"/>
          <w:sz w:val="44"/>
          <w:lang w:val="en-US"/>
        </w:rPr>
      </w:pPr>
      <w:r>
        <w:rPr>
          <w:rFonts w:hint="eastAsia" w:ascii="Times New Roman" w:hAnsi="Times New Roman" w:eastAsia="楷体_GB2312"/>
          <w:kern w:val="0"/>
          <w:sz w:val="28"/>
          <w:szCs w:val="28"/>
        </w:rPr>
        <w:t>填报单位（盖章）：</w:t>
      </w:r>
      <w:r>
        <w:rPr>
          <w:rFonts w:hint="eastAsia" w:eastAsia="楷体_GB2312"/>
          <w:kern w:val="0"/>
          <w:sz w:val="28"/>
          <w:szCs w:val="28"/>
          <w:lang w:eastAsia="zh-CN"/>
        </w:rPr>
        <w:t>常德市科学技术局</w:t>
      </w:r>
      <w:r>
        <w:rPr>
          <w:rFonts w:hint="eastAsia" w:ascii="Times New Roman" w:hAnsi="Times New Roman" w:eastAsia="楷体_GB2312"/>
          <w:kern w:val="0"/>
          <w:sz w:val="28"/>
          <w:szCs w:val="28"/>
          <w:lang w:val="en-US" w:eastAsia="zh-CN"/>
        </w:rPr>
        <w:t xml:space="preserve">                              </w:t>
      </w:r>
      <w:r>
        <w:rPr>
          <w:rFonts w:hint="eastAsia" w:ascii="Times New Roman" w:hAnsi="Times New Roman" w:eastAsia="楷体_GB2312"/>
          <w:kern w:val="0"/>
          <w:sz w:val="28"/>
          <w:szCs w:val="28"/>
        </w:rPr>
        <w:t>联系人及联系电话：</w:t>
      </w:r>
      <w:r>
        <w:rPr>
          <w:rFonts w:hint="eastAsia" w:eastAsia="楷体" w:cs="Times New Roman"/>
          <w:kern w:val="0"/>
          <w:sz w:val="28"/>
          <w:szCs w:val="28"/>
          <w:lang w:eastAsia="zh-CN"/>
        </w:rPr>
        <w:t>吴军</w:t>
      </w:r>
      <w:r>
        <w:rPr>
          <w:rFonts w:hint="default" w:eastAsia="楷体" w:cs="Times New Roman"/>
          <w:kern w:val="0"/>
          <w:sz w:val="28"/>
          <w:szCs w:val="28"/>
          <w:lang w:val="en-US" w:eastAsia="zh-CN"/>
        </w:rPr>
        <w:t xml:space="preserve">  </w:t>
      </w:r>
      <w:r>
        <w:rPr>
          <w:rFonts w:hint="default" w:ascii="Times New Roman" w:hAnsi="Times New Roman" w:eastAsia="楷体" w:cs="Times New Roman"/>
          <w:kern w:val="0"/>
          <w:sz w:val="28"/>
          <w:szCs w:val="28"/>
          <w:lang w:val="en-US" w:eastAsia="zh-CN"/>
        </w:rPr>
        <w:t>073</w:t>
      </w:r>
      <w:r>
        <w:rPr>
          <w:rFonts w:hint="eastAsia" w:eastAsia="楷体" w:cs="Times New Roman"/>
          <w:kern w:val="0"/>
          <w:sz w:val="28"/>
          <w:szCs w:val="28"/>
          <w:lang w:val="en-US" w:eastAsia="zh-CN"/>
        </w:rPr>
        <w:t>6</w:t>
      </w:r>
      <w:r>
        <w:rPr>
          <w:rFonts w:hint="default" w:ascii="Times New Roman" w:hAnsi="Times New Roman" w:eastAsia="楷体" w:cs="Times New Roman"/>
          <w:kern w:val="0"/>
          <w:sz w:val="28"/>
          <w:szCs w:val="28"/>
          <w:lang w:val="en-US" w:eastAsia="zh-CN"/>
        </w:rPr>
        <w:t>-</w:t>
      </w:r>
      <w:r>
        <w:rPr>
          <w:rFonts w:hint="eastAsia" w:eastAsia="楷体" w:cs="Times New Roman"/>
          <w:kern w:val="0"/>
          <w:sz w:val="28"/>
          <w:szCs w:val="28"/>
          <w:lang w:val="en-US" w:eastAsia="zh-CN"/>
        </w:rPr>
        <w:t>7256052</w:t>
      </w:r>
    </w:p>
    <w:tbl>
      <w:tblPr>
        <w:tblStyle w:val="24"/>
        <w:tblW w:w="15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0"/>
        <w:gridCol w:w="4542"/>
        <w:gridCol w:w="1605"/>
        <w:gridCol w:w="1683"/>
        <w:gridCol w:w="795"/>
        <w:gridCol w:w="967"/>
        <w:gridCol w:w="793"/>
        <w:gridCol w:w="707"/>
        <w:gridCol w:w="890"/>
        <w:gridCol w:w="1440"/>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blHeader/>
          <w:jc w:val="center"/>
        </w:trPr>
        <w:tc>
          <w:tcPr>
            <w:tcW w:w="435"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序号</w:t>
            </w:r>
          </w:p>
        </w:tc>
        <w:tc>
          <w:tcPr>
            <w:tcW w:w="840"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检查事项</w:t>
            </w:r>
          </w:p>
        </w:tc>
        <w:tc>
          <w:tcPr>
            <w:tcW w:w="4542"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实施依据</w:t>
            </w:r>
          </w:p>
        </w:tc>
        <w:tc>
          <w:tcPr>
            <w:tcW w:w="1605"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检查对象或抽查对象（含范围、数量或比例）</w:t>
            </w:r>
          </w:p>
        </w:tc>
        <w:tc>
          <w:tcPr>
            <w:tcW w:w="1683"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检查内容</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（项目）</w:t>
            </w:r>
          </w:p>
        </w:tc>
        <w:tc>
          <w:tcPr>
            <w:tcW w:w="795"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拟实施检查时间</w:t>
            </w:r>
          </w:p>
        </w:tc>
        <w:tc>
          <w:tcPr>
            <w:tcW w:w="967"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方式</w:t>
            </w:r>
          </w:p>
        </w:tc>
        <w:tc>
          <w:tcPr>
            <w:tcW w:w="793"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检查事项类型</w:t>
            </w:r>
          </w:p>
        </w:tc>
        <w:tc>
          <w:tcPr>
            <w:tcW w:w="707"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年度检查频次</w:t>
            </w:r>
          </w:p>
        </w:tc>
        <w:tc>
          <w:tcPr>
            <w:tcW w:w="890"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承办</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机构</w:t>
            </w:r>
          </w:p>
        </w:tc>
        <w:tc>
          <w:tcPr>
            <w:tcW w:w="1440"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2"/>
                <w:szCs w:val="22"/>
              </w:rPr>
              <w:t>是否属跨部门联合检查（如是，需写明牵头部门和配合部门）</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472" w:firstLineChars="20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对实验动物生产、使用活动的日常监督检查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1.《实验动物管理条例》（2017年3月第三次修订）第五条 国家科学技术委员会主管全国实验动物工作。省、自治区、直辖市科学技术委员会主管本地区的实验动物工作。国务院各有关部门负责管理本部门的实验动物工作。第六条国家实行实验动物的质量监督和质量合格认证制度。具体办法由国家科学技术委员会另行制定。</w:t>
            </w:r>
          </w:p>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 xml:space="preserve">2.《湖南省实验动物管理条例》（2024年7月公布）第六条 第一款 从事实验动物工作的单位和个人，应当按照国家和省有关规定取得省人民政府科学技术主管部门颁发的实验动物许可证。实验动物许可证包括实验动物生产许可证和实验动物使用许可证。第十七条 县级以上人民政府科学技术主管部门应当加强对实验动物生产、使用活动的日常监督检查。任何单位和个人发现违法从事实验动物生产、使用等活动的行为，有权向科学技术主管部门举报；科学技术主管部门收到举报后应当依法及时核实、处理。                                                   </w:t>
            </w:r>
          </w:p>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3.中华人民共和国国家科学技术委员会关于印发《实验动物质量管理办法》的通知（国科发财字〔1997〕593号）第九条 第一款 实验动物生产和使用，实行许可证制度。实验动物生产和使用单位，必须取得许可证。第十二条 实验动物生产、使用许可证的申请、审批，按照以下程序执行。各申请许可证的单位可向所在省（自治区、直辖市）科委提交申请书，并附上由国家认可的检测机构出具的检测报告及相关资料。检测机构，可由各申请单位自行选择。各省（自治区、直辖市）科委负责受理许可证申请，并进行考核和审批。凡通过批准的，由国家科委授权省（自治区、直辖市）科委发给实验动物生产许可证或实验动物使用许可证。实验动物生产许可证和实验动物使用许可证由国家科委统一制定，全国有效。第十三条 取得许可证的单位，必须接受每年的复查。复查合格者，许可证继续有效；任何一项条件复查不合格的，限期三个月进行整改，并接受再次复查。如仍不合格，取消其实验动物生产或使用资格，由发证部门收回许可证。但在条件具备时，可重新提出申请。第十四条 对实验动物生产、使用单位的每年复查，由省（自治区、直辖市）科委组织实施。每年的复查结果报国家科委备案。</w:t>
            </w:r>
          </w:p>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4.科学技术部、卫生部、教育部、农业部、国家质量监督检验检疫总局、国家中医药管理局、中国人民解放军总后勤部卫生部关于发布《实验动物许可证管理办法（试行）》（国科发财字〔2001〕545号）第三条 第一款 第二款 第三款 实验动物许可证包括实验动物生产许可证和实验动物使用许可证。实验动物生产许可证，适用于从事实验动物及相关产品保种、繁育、生产、供应、运输及有关商业性经营的组织和个人。实验动物使用许可证适用于使用实验动物及相关产品进行科学研究和实验的组织和个人。许可证由各省、自治区、直辖市科技厅（科委、局）印制、发放和管理。第八条 省、自治区、直辖市科技厅（科委、局）负责受理许可证申请，并进行考核和审批。各省、自治区、直辖市科技厅（科委、局）受理申请后，应组织专家组对申请单位的申请材料及实际情况进行审查和现场验收，出具专家组验收报告。对申请生产许可证的单位，其生产用的实验动物种子须按照《关于当前许可证发放过程中有关实验动物种子问题的处理意见》（国科财字〔1999〕044号）进行确认。省、自治区、直辖市科技厅（科委、局）在受理申请后的三个月内给出相应的评审结果。合格者由省、自治区、直辖市科技厅（科委、局）签发批准实验动物生产或使用许可证的文件，发放许可证。</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湖南省内持有有效期内实验动物生产许可证、实验动物使用许可证的企业。按企业总数30%比例抽取进行现场检查，100%完成自查（提交自查报告）。</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1.运营管理监督检查。包括（实验动物设施运行维护、实验动物从业人员健康体检、实验动物福利伦理审查情况等）。</w:t>
            </w:r>
          </w:p>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2.质量管理监督检查。包括（实验动物质量自检、实验动物环境设施质量自检情况等）。</w:t>
            </w:r>
          </w:p>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3.安全管理监督检查。包括（实验动物尸体及废弃物无害化处理、高温高压设备年检及操作人员持证、实验动物生物安全事件应急预案制定及执行情况等）。</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2026</w:t>
            </w:r>
            <w:r>
              <w:rPr>
                <w:rFonts w:hint="eastAsia" w:ascii="Times New Roman" w:hAnsi="Times New Roman" w:eastAsia="仿宋_GB2312" w:cs="仿宋_GB2312"/>
                <w:i w:val="0"/>
                <w:iCs w:val="0"/>
                <w:color w:val="000000"/>
                <w:spacing w:val="-17"/>
                <w:kern w:val="0"/>
                <w:sz w:val="24"/>
                <w:szCs w:val="24"/>
                <w:u w:val="none"/>
                <w:lang w:val="en-US" w:eastAsia="zh-CN" w:bidi="ar"/>
              </w:rPr>
              <w:t>年10月-12月</w:t>
            </w:r>
            <w:r>
              <w:rPr>
                <w:rFonts w:hint="eastAsia" w:eastAsia="仿宋_GB2312" w:cs="仿宋_GB2312"/>
                <w:i w:val="0"/>
                <w:iCs w:val="0"/>
                <w:color w:val="000000"/>
                <w:spacing w:val="-17"/>
                <w:kern w:val="0"/>
                <w:sz w:val="24"/>
                <w:szCs w:val="24"/>
                <w:u w:val="none"/>
                <w:lang w:val="en-US" w:eastAsia="zh-CN" w:bidi="ar"/>
              </w:rPr>
              <w:t>由省科技厅牵头实施，市科技局按照要求参加</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ind w:left="0" w:leftChars="0" w:right="0" w:rightChars="0" w:firstLine="0" w:firstLineChars="0"/>
              <w:jc w:val="both"/>
              <w:textAlignment w:val="center"/>
              <w:outlineLvl w:val="9"/>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spacing w:val="-17"/>
                <w:kern w:val="0"/>
                <w:sz w:val="24"/>
                <w:szCs w:val="24"/>
                <w:u w:val="none"/>
                <w:lang w:val="en-US" w:eastAsia="zh-CN" w:bidi="ar"/>
              </w:rPr>
              <w:t>现场检查和非现场检查相结合。非现场检查要求100%企业提交自查报告，现场检查按企业总数30%抽取。</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b/>
                <w:bCs/>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一般检查事项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1次/年</w:t>
            </w:r>
          </w:p>
        </w:tc>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eastAsia="仿宋_GB2312" w:cs="仿宋_GB2312"/>
                <w:i w:val="0"/>
                <w:iCs w:val="0"/>
                <w:color w:val="000000"/>
                <w:kern w:val="0"/>
                <w:sz w:val="24"/>
                <w:szCs w:val="24"/>
                <w:u w:val="none"/>
                <w:lang w:val="en-US" w:eastAsia="zh-CN" w:bidi="ar"/>
              </w:rPr>
              <w:t>常德市科学技术局平台科</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rPr>
                <w:rFonts w:ascii="Times New Roman" w:hAnsi="Times New Roman" w:eastAsia="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472" w:firstLineChars="200"/>
              <w:jc w:val="center"/>
              <w:textAlignment w:val="center"/>
              <w:rPr>
                <w:rFonts w:hint="default" w:ascii="Times New Roman" w:hAnsi="Times New Roman" w:eastAsia="仿宋_GB2312"/>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对采集、保藏、利用、对外提供人类遗传资源活动各环节的监督检查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《中华人民共和国人类遗传资源管理条例》（2024年3月修订）第四条 第二款 省、自治区、直辖市人民政府人类遗传资源主管部门负责本行政区域人类遗传资源管理工作。第三十三条 国务院卫生健康主管部门和省、自治区、直辖市人民政府人类遗传资源主管部门应当加强对采集、保藏、利用、对外提供人类遗传资源活动各环节的监督检查，发现违反本条例规定的，及时依法予以处理并向社会公布检查、处理结果。第三十四条　国务院卫生健康主管部门和省、自治区、直辖市人民政府人类遗传资源主管部门进行监督检查，可以采取下列措施：（一）进入现场检查；（二）询问相关人员；（三）查阅、复制有关资料；（四）查封、扣押有关人类遗传资源。2.《人类遗传资源管理条例实施细则》第四条  省、自治区、直辖市科学技术厅（委、局）、新疆生产建设兵团科学技术局（以下称省级科技行政部门）负责本区域下列人类遗传资源管理工作：（一）人类遗传资源监督检查与日常管理；（二）职权范围内的人类遗传资源违法案件调查处理；（三）根据科技部委托，开展本区域人类遗传资源调查、人类遗传资源行政许可、人类遗传资源违法案件调查处理等工作。</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eastAsia="仿宋_GB2312" w:cs="仿宋_GB2312"/>
                <w:i w:val="0"/>
                <w:iCs w:val="0"/>
                <w:color w:val="000000"/>
                <w:kern w:val="0"/>
                <w:sz w:val="24"/>
                <w:szCs w:val="24"/>
                <w:u w:val="none"/>
                <w:lang w:val="en-US" w:eastAsia="zh-CN" w:bidi="ar"/>
              </w:rPr>
              <w:t>常德市</w:t>
            </w:r>
            <w:r>
              <w:rPr>
                <w:rFonts w:hint="eastAsia" w:ascii="Times New Roman" w:hAnsi="Times New Roman" w:eastAsia="仿宋_GB2312" w:cs="仿宋_GB2312"/>
                <w:i w:val="0"/>
                <w:iCs w:val="0"/>
                <w:color w:val="000000"/>
                <w:kern w:val="0"/>
                <w:sz w:val="24"/>
                <w:szCs w:val="24"/>
                <w:u w:val="none"/>
                <w:lang w:val="en-US" w:eastAsia="zh-CN" w:bidi="ar"/>
              </w:rPr>
              <w:t>内具有人类遗传资源管理采集、保藏、利用、对外提供人类遗传资源活动资质的企业进行现场检查。</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结合工作实际抽取具有人类遗传资源管理相关资质的企业，对采集、保藏、利用、对外提供人类遗传资源活动各环节开展监督检查。</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2026年9月</w:t>
            </w:r>
            <w:r>
              <w:rPr>
                <w:rFonts w:hint="eastAsia" w:eastAsia="仿宋_GB2312" w:cs="仿宋_GB2312"/>
                <w:i w:val="0"/>
                <w:iCs w:val="0"/>
                <w:color w:val="000000"/>
                <w:kern w:val="0"/>
                <w:sz w:val="24"/>
                <w:szCs w:val="24"/>
                <w:u w:val="none"/>
                <w:lang w:val="en-US" w:eastAsia="zh-CN" w:bidi="ar"/>
              </w:rPr>
              <w:t>由省科技厅牵头实施,市科技局按照要求参加</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现场检查</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b/>
                <w:bCs/>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一般</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1次/年</w:t>
            </w:r>
          </w:p>
        </w:tc>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hint="eastAsia" w:ascii="Times New Roman" w:hAnsi="Times New Roman" w:eastAsia="仿宋_GB2312"/>
                <w:kern w:val="0"/>
                <w:sz w:val="24"/>
                <w:szCs w:val="24"/>
                <w:lang w:eastAsia="zh-CN"/>
              </w:rPr>
            </w:pPr>
            <w:r>
              <w:rPr>
                <w:rFonts w:hint="eastAsia" w:eastAsia="仿宋_GB2312"/>
                <w:kern w:val="0"/>
                <w:sz w:val="24"/>
                <w:szCs w:val="24"/>
                <w:lang w:eastAsia="zh-CN"/>
              </w:rPr>
              <w:t>常德市科学技术局科技安全与发展科</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rPr>
                <w:rFonts w:ascii="Times New Roman" w:hAnsi="Times New Roman" w:eastAsia="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对利用财政性资金设立的科学技术计划实施情况的监督检查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《中华人民共和国科学技术进步法》（中华人民共和国主席令 第一</w:t>
            </w:r>
            <w:r>
              <w:rPr>
                <w:rStyle w:val="36"/>
                <w:rFonts w:hint="eastAsia" w:ascii="仿宋_GB2312" w:hAnsi="仿宋_GB2312" w:eastAsia="仿宋_GB2312" w:cs="仿宋_GB2312"/>
                <w:sz w:val="24"/>
                <w:szCs w:val="24"/>
                <w:lang w:val="en-US" w:eastAsia="zh-CN" w:bidi="ar"/>
              </w:rPr>
              <w:t>〇</w:t>
            </w:r>
            <w:r>
              <w:rPr>
                <w:rStyle w:val="37"/>
                <w:rFonts w:hint="eastAsia" w:ascii="仿宋_GB2312" w:hAnsi="仿宋_GB2312" w:eastAsia="仿宋_GB2312" w:cs="仿宋_GB2312"/>
                <w:sz w:val="24"/>
                <w:szCs w:val="24"/>
                <w:lang w:val="en-US" w:eastAsia="zh-CN" w:bidi="ar"/>
              </w:rPr>
              <w:t>三号）第十六条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37"/>
                <w:rFonts w:hint="eastAsia" w:ascii="仿宋_GB2312" w:hAnsi="仿宋_GB2312" w:eastAsia="仿宋_GB2312" w:cs="仿宋_GB2312"/>
                <w:sz w:val="24"/>
                <w:szCs w:val="24"/>
                <w:lang w:val="en-US" w:eastAsia="zh-CN" w:bidi="ar"/>
              </w:rPr>
              <w:br w:type="textWrapping"/>
            </w:r>
            <w:r>
              <w:rPr>
                <w:rStyle w:val="37"/>
                <w:rFonts w:hint="eastAsia" w:ascii="仿宋_GB2312" w:hAnsi="仿宋_GB2312" w:eastAsia="仿宋_GB2312" w:cs="仿宋_GB2312"/>
                <w:sz w:val="24"/>
                <w:szCs w:val="24"/>
                <w:lang w:val="en-US" w:eastAsia="zh-CN" w:bidi="ar"/>
              </w:rPr>
              <w:t>第七十三条 县级以上人民政府及其有关部门制定的与产业发展相关的科学技术计划，应当体现产业发展的需求。县级以上人民政府及其有关部门确定科学技术计划项目，应当鼓励企业平等竞争和参与实施；对符合产业发展需求、具有明确市场应用前景的项目，应当鼓励企业联合科学技术研究开发机构、高等学校共同实施。地方重大科学技术计划实施应当与国家科学技术重大任务部署相衔接。</w:t>
            </w:r>
            <w:r>
              <w:rPr>
                <w:rStyle w:val="37"/>
                <w:rFonts w:hint="eastAsia" w:ascii="仿宋_GB2312" w:hAnsi="仿宋_GB2312" w:eastAsia="仿宋_GB2312" w:cs="仿宋_GB2312"/>
                <w:sz w:val="24"/>
                <w:szCs w:val="24"/>
                <w:lang w:val="en-US" w:eastAsia="zh-CN" w:bidi="ar"/>
              </w:rPr>
              <w:br w:type="textWrapping"/>
            </w:r>
            <w:r>
              <w:rPr>
                <w:rStyle w:val="37"/>
                <w:rFonts w:hint="eastAsia" w:ascii="仿宋_GB2312" w:hAnsi="仿宋_GB2312" w:eastAsia="仿宋_GB2312" w:cs="仿宋_GB2312"/>
                <w:sz w:val="24"/>
                <w:szCs w:val="24"/>
                <w:lang w:val="en-US" w:eastAsia="zh-CN" w:bidi="ar"/>
              </w:rPr>
              <w:t>第八十七条  财政性科学技术资金应当主要用于下列事项的投入：（一）科学技术基础条件与设施建设；（二）基础研究和前沿交叉学科研究；（三）对经济建设和社会发展具有战略性、基础性、前瞻性作用的前沿技术研究、社会公益性技术研究和重大共性关键技术研究；（四）重大共性关键技术应用和高新技术产业化示范；（五）关系生态环境和人民生命健康的科学技术研究开发和成果的应用、推广；（六）农业新品种、新技术的研究开发和农业科技成果的应用、推广；（七）科学技术人员的培养、吸引和使用；（八）科学技术普及。</w:t>
            </w:r>
            <w:r>
              <w:rPr>
                <w:rStyle w:val="37"/>
                <w:rFonts w:hint="eastAsia" w:ascii="仿宋_GB2312" w:hAnsi="仿宋_GB2312" w:eastAsia="仿宋_GB2312" w:cs="仿宋_GB2312"/>
                <w:sz w:val="24"/>
                <w:szCs w:val="24"/>
                <w:lang w:val="en-US" w:eastAsia="zh-CN" w:bidi="ar"/>
              </w:rPr>
              <w:br w:type="textWrapping"/>
            </w:r>
            <w:r>
              <w:rPr>
                <w:rStyle w:val="37"/>
                <w:rFonts w:hint="eastAsia" w:ascii="仿宋_GB2312" w:hAnsi="仿宋_GB2312" w:eastAsia="仿宋_GB2312" w:cs="仿宋_GB2312"/>
                <w:sz w:val="24"/>
                <w:szCs w:val="24"/>
                <w:lang w:val="en-US" w:eastAsia="zh-CN" w:bidi="ar"/>
              </w:rPr>
              <w:t>第一百条  国家加强财政性科学技术资金绩效管理，提高资金配置效率和使用效益。财政性科学技术资金的管理和使用情况，应当接受审计机关、财政部门的监督检查。科学技术行政等有关部门应当加强对利用财政性资金设立的科学技术计划实施情况的监督，强化科研项目资金协调、评估、监管。</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辖区内承担财政性资金设立的科学技术计划（专项、基金）的项目单位、个人。</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1.项目单位法人责任制以及相关科技政策落实情况</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2.项目实施及资金管理使用情况</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3.项目后续管理情况</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省级项目由省科技厅牵头实施，市科技局按照要求参加；市级项目2026年6~12月</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现场检查、非现场检查相结合</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一般</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1次/年</w:t>
            </w:r>
          </w:p>
        </w:tc>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常德市科学技术局政策法规科</w:t>
            </w:r>
          </w:p>
        </w:tc>
        <w:tc>
          <w:tcPr>
            <w:tcW w:w="1440"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right="0" w:rightChars="0" w:firstLine="0" w:firstLineChars="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对科学技术人员科研诚信和科技伦理方面的监</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1.《中华人民共和国科学技术进步法》（中华人民共和国主席令 第一〇三号）第十六条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六十九条　科研诚信记录作为对科学技术人员聘任专业技术职务或者职称、审批科学技术人员申请科学技术研究开发项目、授予科学技术奖励等的重要依据。第一百零四条 县级以上地方人民政府和相关行业主管部门采取各种措施加强科研诚信建设，企业事业单位和社会组织应当履行科研诚信管理的主体责任。第一百零七条 从事科学技术活动，应当遵守科学技术活动管理规范。对严重违反科学技术活动管理规范的组织和个人，由科学技术行政等有关部门记入科研诚信严重失信行为数据库。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2.中共中央办公厅 国务院办公厅印发《关于进一步加强科研诚信建设的若干意见》（厅字〔2018〕23号）第四条 建立健全职责明确、高效协同的科研诚信管理体系……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3.中共中央办公厅 国务院办公厅印发《关于加强科技伦理治理的意见》五、强化科技伦理审查和监管 （四）严肃查处科技伦理违法违规行为。高等学校、科研机构、医疗卫生机构、企业等是科技伦理违规行为单位内部调查处理的第一责任主体，应制定完善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任何单位、组织和个人开展科技活动不得危害社会安全、公共安全、生物安全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纪给予党纪处分；涉嫌犯罪的依法予以惩处。</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辖区内承担财政性资金设立的科学技术计划（专项、基金）的项目单位、个人。</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1.科研诚信、科技伦理相关政策规定的落实情况</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2.科研诚信、科技伦理违规行为调查处理情况</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2026年10月-12月</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现场检查、非现场检查相结合</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一般检查事项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1次/年</w:t>
            </w:r>
          </w:p>
        </w:tc>
        <w:tc>
          <w:tcPr>
            <w:tcW w:w="8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常德市科学技术局政策法规科</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right="0" w:rightChars="0" w:firstLine="0" w:firstLineChars="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val="0"/>
              <w:spacing w:after="0" w:line="320" w:lineRule="exact"/>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rPr>
              <w:t>对外国人来华工作的行政检查</w:t>
            </w:r>
          </w:p>
        </w:tc>
        <w:tc>
          <w:tcPr>
            <w:tcW w:w="4542"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firstLine="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rPr>
              <w:t>1.《中华人民共和国行政许可法》</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中华人民共和国主席令第七号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2.《中华人民共和国出境入境管理法》</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中华人民共和国主席令第五十七号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第四十一条外国人在中国境内工作，应当按照规定取得工作许可和工作类居留证件。任何单位和个人不得聘用未取得工作许可和工作类居留证件的外国人。</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3.《中华人民共和国外国人入境出境管理条例》</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中华人民共和国国务院令第637号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第七条申请R字签证，应当符合中国政府有关主管部门确定的外国高层次人才和急需紧缺专门人才的引进条件和要求，并按照规定提交相应的证明材料。申请Z字签证，应当按照规定提交工作许可等证明材料。第十六条工作类居留证件，应当提交工作许可等证明材料；属于国家需要的外国高层次人才和急需紧缺专门人才的，应当按照规定提交有关证明材料。</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4.《外国人在中国就业管理规定》</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2017年3月13日中华人民共和国人力资源和社会保障部令第32号修正</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5.《国家外国专家局、人力资源社会保障部、外交部、公安部关于全面实施外国人来华工作许可制度的通知》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外专发〔2017〕40号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6.《国家外国专家局关于印发外国人来华工作许可服务指南</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暂行</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的通知》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外专发〔2017〕36号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全文。</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lang w:eastAsia="zh-CN"/>
              </w:rPr>
              <w:t>常德市内</w:t>
            </w:r>
            <w:r>
              <w:rPr>
                <w:rFonts w:hint="eastAsia" w:ascii="仿宋_GB2312" w:hAnsi="仿宋_GB2312" w:eastAsia="仿宋_GB2312" w:cs="仿宋_GB2312"/>
                <w:spacing w:val="0"/>
                <w:position w:val="0"/>
                <w:sz w:val="24"/>
                <w:szCs w:val="24"/>
              </w:rPr>
              <w:t>来华工作的外国人、聘用外国人的用人单位。</w:t>
            </w:r>
          </w:p>
        </w:tc>
        <w:tc>
          <w:tcPr>
            <w:tcW w:w="1683"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firstLine="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rPr>
              <w:t>1.外国人来华工作许可行政审批监督检查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2.证件管理情况监督检查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lang w:val="en-US" w:eastAsia="zh-CN"/>
              </w:rPr>
              <w:t>3.</w:t>
            </w:r>
            <w:r>
              <w:rPr>
                <w:rFonts w:hint="eastAsia" w:ascii="仿宋_GB2312" w:hAnsi="仿宋_GB2312" w:eastAsia="仿宋_GB2312" w:cs="仿宋_GB2312"/>
                <w:spacing w:val="0"/>
                <w:position w:val="0"/>
                <w:sz w:val="24"/>
                <w:szCs w:val="24"/>
              </w:rPr>
              <w:t>用人单位使用外国人情况监督检查</w:t>
            </w:r>
            <w:r>
              <w:rPr>
                <w:rFonts w:hint="eastAsia" w:ascii="仿宋_GB2312" w:hAnsi="仿宋_GB2312" w:eastAsia="仿宋_GB2312" w:cs="仿宋_GB2312"/>
                <w:spacing w:val="0"/>
                <w:position w:val="0"/>
                <w:sz w:val="24"/>
                <w:szCs w:val="24"/>
                <w:lang w:eastAsia="zh-CN"/>
              </w:rPr>
              <w:t>。</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1外国人来华工作许可办理为全年（工作日）；</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2相关检查由省科技厅牵头实施，市科技局按照要求参加；</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现现场检查、非现场检查相结合</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一般检查事项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11次/年</w:t>
            </w:r>
          </w:p>
        </w:tc>
        <w:tc>
          <w:tcPr>
            <w:tcW w:w="890"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常德市科学技术局人事科</w:t>
            </w:r>
          </w:p>
        </w:tc>
        <w:tc>
          <w:tcPr>
            <w:tcW w:w="1440" w:type="dxa"/>
            <w:vAlign w:val="center"/>
          </w:tcPr>
          <w:p>
            <w:pPr>
              <w:keepNext w:val="0"/>
              <w:keepLines w:val="0"/>
              <w:pageBreakBefore w:val="0"/>
              <w:kinsoku/>
              <w:wordWrap/>
              <w:overflowPunct/>
              <w:topLinePunct w:val="0"/>
              <w:autoSpaceDE/>
              <w:autoSpaceDN/>
              <w:bidi w:val="0"/>
              <w:adjustRightInd/>
              <w:snapToGrid w:val="0"/>
              <w:spacing w:line="320" w:lineRule="exact"/>
              <w:ind w:right="0"/>
              <w:jc w:val="both"/>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center"/>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val="0"/>
        <w:spacing w:after="0" w:line="320" w:lineRule="exact"/>
        <w:ind w:left="0" w:leftChars="0" w:right="0" w:rightChars="0" w:firstLine="0" w:firstLineChars="0"/>
        <w:jc w:val="both"/>
        <w:textAlignment w:val="auto"/>
        <w:outlineLvl w:val="9"/>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填写说明：</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检查事项、实施依据、承办机构栏原则上应与本单位涉企行政检查事项清单保持一致。其中，“实施依据”栏需列明以下内容：①法律法规规章名称（含规章令号）；②具体条、款、项、目；③引用相关条文原文。</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2.根据投诉举报、转（交）办、数据监控等实施的触发式行政检查，按照省政府办公厅《关于严格规范涉企行政检查的实施方案》相关规定执行，不列入本计划。</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3.“检查方式”主要包括现场检查、非现场检查、现场检查和非现场检查相结合三种；列为非现场检查的事项，在“备注”栏注明“无扰检查”。</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4.“检查对象”应列明具体检查对象名单，或者精准描述抽查对象具体范围、数量或者比例，并在“备注”栏明确本项检查是否属“双随机</w:t>
      </w:r>
      <w:r>
        <w:rPr>
          <w:rFonts w:hint="eastAsia" w:ascii="仿宋_GB2312" w:hAnsi="仿宋_GB2312" w:eastAsia="仿宋_GB2312" w:cs="仿宋_GB2312"/>
          <w:kern w:val="0"/>
          <w:sz w:val="24"/>
          <w:szCs w:val="24"/>
          <w:lang w:eastAsia="zh-CN"/>
        </w:rPr>
        <w:t>、</w:t>
      </w:r>
      <w:bookmarkStart w:id="0" w:name="_GoBack"/>
      <w:bookmarkEnd w:id="0"/>
      <w:r>
        <w:rPr>
          <w:rFonts w:hint="eastAsia" w:ascii="仿宋_GB2312" w:hAnsi="仿宋_GB2312" w:eastAsia="仿宋_GB2312" w:cs="仿宋_GB2312"/>
          <w:kern w:val="0"/>
          <w:sz w:val="24"/>
          <w:szCs w:val="24"/>
        </w:rPr>
        <w:t>一公开”抽查。</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5.“检查事项类型”填写“重点检查事项”或者“一般检查事项”。</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6.根据省政府办公厅《关于严格规范涉企行政检查的实施方案》相关规定，本表应在同级司法行政部门同意备案后，由制定机关15日内在“湖南省行政执法公示平台-涉企行政检查”专栏公示。</w:t>
      </w:r>
    </w:p>
    <w:p>
      <w:pPr>
        <w:keepNext w:val="0"/>
        <w:keepLines w:val="0"/>
        <w:pageBreakBefore w:val="0"/>
        <w:widowControl w:val="0"/>
        <w:kinsoku/>
        <w:wordWrap/>
        <w:overflowPunct/>
        <w:topLinePunct w:val="0"/>
        <w:autoSpaceDE/>
        <w:autoSpaceDN/>
        <w:bidi w:val="0"/>
        <w:adjustRightInd/>
        <w:snapToGrid w:val="0"/>
        <w:spacing w:after="0" w:line="320" w:lineRule="exact"/>
        <w:ind w:left="0" w:leftChars="0" w:right="0" w:rightChars="0" w:firstLine="0" w:firstLineChars="0"/>
        <w:jc w:val="both"/>
        <w:textAlignment w:val="auto"/>
        <w:outlineLvl w:val="9"/>
        <w:rPr>
          <w:rFonts w:hint="default" w:ascii="Times New Roman" w:hAnsi="Times New Roman" w:eastAsia="仿宋_GB2312"/>
        </w:rPr>
      </w:pPr>
      <w:r>
        <w:rPr>
          <w:rFonts w:hint="eastAsia" w:ascii="仿宋_GB2312" w:hAnsi="仿宋_GB2312" w:eastAsia="仿宋_GB2312" w:cs="仿宋_GB2312"/>
          <w:kern w:val="0"/>
          <w:sz w:val="24"/>
          <w:szCs w:val="24"/>
        </w:rPr>
        <w:t>7.各单位与同级司法行政部门沟通一致后，可结合本单位实际在表格栏目外适当增加栏</w:t>
      </w:r>
      <w:r>
        <w:rPr>
          <w:rFonts w:hint="eastAsia" w:ascii="Times New Roman" w:hAnsi="Times New Roman" w:eastAsia="仿宋_GB2312" w:cs="仿宋_GB2312"/>
          <w:kern w:val="0"/>
          <w:sz w:val="24"/>
          <w:szCs w:val="24"/>
        </w:rPr>
        <w:t>目,或者以附件形式补充明确相关内容。</w:t>
      </w:r>
    </w:p>
    <w:sectPr>
      <w:headerReference r:id="rId5" w:type="default"/>
      <w:footerReference r:id="rId7" w:type="default"/>
      <w:headerReference r:id="rId6" w:type="even"/>
      <w:footerReference r:id="rId8" w:type="even"/>
      <w:pgSz w:w="16838" w:h="11906" w:orient="landscape"/>
      <w:pgMar w:top="1814" w:right="1440" w:bottom="1440" w:left="1440" w:header="850" w:footer="992"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20" w:rightChars="100" w:firstLine="560"/>
      <w:jc w:val="right"/>
      <w:rPr>
        <w:rFonts w:hint="default" w:ascii="Times New Roman" w:hAnsi="Times New Roman" w:eastAsia="宋体" w:cs="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right="320" w:rightChars="100" w:firstLine="560"/>
                            <w:jc w:val="right"/>
                          </w:pPr>
                          <w:r>
                            <w:rPr>
                              <w:rFonts w:hint="eastAsia" w:ascii="宋体" w:hAnsi="宋体" w:eastAsia="宋体" w:cs="宋体"/>
                              <w:sz w:val="28"/>
                            </w:rPr>
                            <w:t>－</w:t>
                          </w:r>
                          <w:r>
                            <w:rPr>
                              <w:rFonts w:hint="default" w:ascii="Times New Roman" w:hAnsi="Times New Roman" w:eastAsia="宋体" w:cs="Times New Roman"/>
                              <w:sz w:val="28"/>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Arabic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3</w:t>
                          </w:r>
                          <w:r>
                            <w:rPr>
                              <w:rFonts w:hint="default" w:ascii="Times New Roman" w:hAnsi="Times New Roman" w:eastAsia="宋体" w:cs="Times New Roman"/>
                              <w:sz w:val="28"/>
                            </w:rPr>
                            <w:fldChar w:fldCharType="end"/>
                          </w:r>
                          <w:r>
                            <w:rPr>
                              <w:rFonts w:hint="default" w:ascii="Times New Roman" w:hAnsi="Times New Roman" w:eastAsia="宋体" w:cs="Times New Roman"/>
                              <w:sz w:val="28"/>
                            </w:rPr>
                            <w:t xml:space="preserve"> </w:t>
                          </w:r>
                          <w:r>
                            <w:rPr>
                              <w:rFonts w:hint="eastAsia" w:ascii="宋体" w:hAnsi="宋体" w:eastAsia="宋体" w:cs="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5"/>
                      <w:ind w:right="320" w:rightChars="100" w:firstLine="560"/>
                      <w:jc w:val="right"/>
                    </w:pPr>
                    <w:r>
                      <w:rPr>
                        <w:rFonts w:hint="eastAsia" w:ascii="宋体" w:hAnsi="宋体" w:eastAsia="宋体" w:cs="宋体"/>
                        <w:sz w:val="28"/>
                      </w:rPr>
                      <w:t>－</w:t>
                    </w:r>
                    <w:r>
                      <w:rPr>
                        <w:rFonts w:hint="default" w:ascii="Times New Roman" w:hAnsi="Times New Roman" w:eastAsia="宋体" w:cs="Times New Roman"/>
                        <w:sz w:val="28"/>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Arabic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3</w:t>
                    </w:r>
                    <w:r>
                      <w:rPr>
                        <w:rFonts w:hint="default" w:ascii="Times New Roman" w:hAnsi="Times New Roman" w:eastAsia="宋体" w:cs="Times New Roman"/>
                        <w:sz w:val="28"/>
                      </w:rPr>
                      <w:fldChar w:fldCharType="end"/>
                    </w:r>
                    <w:r>
                      <w:rPr>
                        <w:rFonts w:hint="default" w:ascii="Times New Roman" w:hAnsi="Times New Roman" w:eastAsia="宋体" w:cs="Times New Roman"/>
                        <w:sz w:val="28"/>
                      </w:rPr>
                      <w:t xml:space="preserve"> </w:t>
                    </w:r>
                    <w:r>
                      <w:rPr>
                        <w:rFonts w:hint="eastAsia" w:ascii="宋体" w:hAnsi="宋体" w:eastAsia="宋体" w:cs="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rPr>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left="0" w:leftChars="0" w:firstLine="0" w:firstLineChars="0"/>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4</w:t>
                          </w:r>
                          <w:r>
                            <w:rPr>
                              <w:rFonts w:hint="eastAsia" w:ascii="宋体" w:hAnsi="宋体" w:eastAsia="宋体"/>
                              <w:sz w:val="28"/>
                            </w:rPr>
                            <w:fldChar w:fldCharType="end"/>
                          </w:r>
                          <w:r>
                            <w:rPr>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5"/>
                      <w:ind w:left="0" w:leftChars="0" w:firstLine="0" w:firstLineChars="0"/>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4</w:t>
                    </w:r>
                    <w:r>
                      <w:rPr>
                        <w:rFonts w:hint="eastAsia" w:ascii="宋体" w:hAnsi="宋体" w:eastAsia="宋体"/>
                        <w:sz w:val="28"/>
                      </w:rPr>
                      <w:fldChar w:fldCharType="end"/>
                    </w:r>
                    <w:r>
                      <w:rPr>
                        <w:rFonts w:hint="eastAsia"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32"/>
      </w:pPr>
      <w:r>
        <w:separator/>
      </w:r>
    </w:p>
  </w:footnote>
  <w:footnote w:type="continuationSeparator" w:id="1">
    <w:p>
      <w:pPr>
        <w:spacing w:before="0" w:after="0"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6D73B6"/>
    <w:rsid w:val="1B0B67CC"/>
    <w:rsid w:val="202C74B6"/>
    <w:rsid w:val="23622E2E"/>
    <w:rsid w:val="279F77E7"/>
    <w:rsid w:val="2D7C1406"/>
    <w:rsid w:val="2EE74FC6"/>
    <w:rsid w:val="2FDF2B22"/>
    <w:rsid w:val="31456D6E"/>
    <w:rsid w:val="346E9CC9"/>
    <w:rsid w:val="357F59E6"/>
    <w:rsid w:val="3ABE3508"/>
    <w:rsid w:val="3B75AFF9"/>
    <w:rsid w:val="3BF7A19C"/>
    <w:rsid w:val="3D6ED400"/>
    <w:rsid w:val="40F119D0"/>
    <w:rsid w:val="43BD30A9"/>
    <w:rsid w:val="4C4E6DE4"/>
    <w:rsid w:val="4D5E5C77"/>
    <w:rsid w:val="5D7E492D"/>
    <w:rsid w:val="62FD7BDA"/>
    <w:rsid w:val="68438651"/>
    <w:rsid w:val="6946402E"/>
    <w:rsid w:val="697D7CBC"/>
    <w:rsid w:val="6E6D6C88"/>
    <w:rsid w:val="70823D72"/>
    <w:rsid w:val="72E5625C"/>
    <w:rsid w:val="72FF422F"/>
    <w:rsid w:val="73AD128C"/>
    <w:rsid w:val="73EBF955"/>
    <w:rsid w:val="75FFAA1B"/>
    <w:rsid w:val="76BDCDF1"/>
    <w:rsid w:val="7AC76718"/>
    <w:rsid w:val="7BFFF9F3"/>
    <w:rsid w:val="7CCFF56D"/>
    <w:rsid w:val="7CFD5A72"/>
    <w:rsid w:val="7DDDC8FC"/>
    <w:rsid w:val="7DED9DC6"/>
    <w:rsid w:val="7E7F8250"/>
    <w:rsid w:val="7EAD4B8B"/>
    <w:rsid w:val="7EFB0053"/>
    <w:rsid w:val="7F9062FE"/>
    <w:rsid w:val="7FAB3234"/>
    <w:rsid w:val="7FBF90DD"/>
    <w:rsid w:val="7FBFC911"/>
    <w:rsid w:val="7FDB62E8"/>
    <w:rsid w:val="B7FAB9C1"/>
    <w:rsid w:val="BDFB6E54"/>
    <w:rsid w:val="C5DB9443"/>
    <w:rsid w:val="CFE98152"/>
    <w:rsid w:val="D1B805F8"/>
    <w:rsid w:val="E7EE8AFB"/>
    <w:rsid w:val="E97F4673"/>
    <w:rsid w:val="EA2EB73B"/>
    <w:rsid w:val="EA979CB4"/>
    <w:rsid w:val="EB79E553"/>
    <w:rsid w:val="EE7F1D23"/>
    <w:rsid w:val="EEFF1A9B"/>
    <w:rsid w:val="EFFFC9EC"/>
    <w:rsid w:val="F2B75448"/>
    <w:rsid w:val="F38EC98D"/>
    <w:rsid w:val="F77BE219"/>
    <w:rsid w:val="F7AE4228"/>
    <w:rsid w:val="F925817F"/>
    <w:rsid w:val="F98BE5B9"/>
    <w:rsid w:val="FBBF5C91"/>
    <w:rsid w:val="FD5F2E96"/>
    <w:rsid w:val="FE8F57D4"/>
    <w:rsid w:val="FF4FD9B2"/>
    <w:rsid w:val="FF7B0D50"/>
    <w:rsid w:val="FFBF0F5F"/>
    <w:rsid w:val="FFEEB136"/>
    <w:rsid w:val="FFF4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20" w:lineRule="exact"/>
      <w:ind w:firstLine="880" w:firstLineChars="200"/>
      <w:jc w:val="both"/>
    </w:pPr>
    <w:rPr>
      <w:rFonts w:ascii="Times New Roman" w:hAnsi="Times New Roman" w:eastAsia="方正仿宋_GBK" w:cs="Times New Roman"/>
      <w:kern w:val="2"/>
      <w:sz w:val="32"/>
      <w:lang w:val="en-US" w:eastAsia="zh-CN" w:bidi="ar-SA"/>
    </w:rPr>
  </w:style>
  <w:style w:type="paragraph" w:styleId="3">
    <w:name w:val="heading 1"/>
    <w:basedOn w:val="4"/>
    <w:next w:val="1"/>
    <w:qFormat/>
    <w:uiPriority w:val="0"/>
    <w:pPr>
      <w:spacing w:beforeAutospacing="1" w:afterAutospacing="1"/>
    </w:pPr>
    <w:rPr>
      <w:rFonts w:hint="eastAsia" w:ascii="宋体" w:hAnsi="宋体" w:eastAsia="方正小标宋简体"/>
      <w:b w:val="0"/>
      <w:kern w:val="44"/>
      <w:sz w:val="44"/>
      <w:szCs w:val="48"/>
    </w:rPr>
  </w:style>
  <w:style w:type="paragraph" w:styleId="5">
    <w:name w:val="heading 2"/>
    <w:basedOn w:val="1"/>
    <w:next w:val="1"/>
    <w:link w:val="32"/>
    <w:qFormat/>
    <w:uiPriority w:val="0"/>
    <w:pPr>
      <w:keepNext/>
      <w:keepLines/>
      <w:spacing w:before="260" w:after="260" w:line="416" w:lineRule="auto"/>
      <w:outlineLvl w:val="1"/>
    </w:pPr>
    <w:rPr>
      <w:rFonts w:ascii="等线 Light" w:hAnsi="等线 Light" w:eastAsia="黑体"/>
      <w:b/>
      <w:bCs/>
      <w:szCs w:val="32"/>
    </w:rPr>
  </w:style>
  <w:style w:type="paragraph" w:styleId="6">
    <w:name w:val="heading 3"/>
    <w:basedOn w:val="1"/>
    <w:next w:val="1"/>
    <w:qFormat/>
    <w:uiPriority w:val="0"/>
    <w:pPr>
      <w:keepNext/>
      <w:keepLines/>
      <w:spacing w:before="260" w:after="260" w:line="413" w:lineRule="auto"/>
      <w:jc w:val="left"/>
      <w:outlineLvl w:val="2"/>
    </w:pPr>
    <w:rPr>
      <w:rFonts w:eastAsia="楷体"/>
    </w:rPr>
  </w:style>
  <w:style w:type="paragraph" w:styleId="7">
    <w:name w:val="heading 4"/>
    <w:basedOn w:val="1"/>
    <w:next w:val="1"/>
    <w:qFormat/>
    <w:uiPriority w:val="0"/>
    <w:pPr>
      <w:keepNext/>
      <w:keepLines/>
      <w:spacing w:before="280" w:after="290" w:line="372" w:lineRule="auto"/>
      <w:outlineLvl w:val="3"/>
    </w:pPr>
    <w:rPr>
      <w:rFonts w:ascii="Arial" w:hAnsi="Arial" w:eastAsia="仿宋"/>
      <w:b/>
    </w:rPr>
  </w:style>
  <w:style w:type="character" w:default="1" w:styleId="25">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customStyle="1" w:styleId="2">
    <w:name w:val="EndnoteText"/>
    <w:basedOn w:val="1"/>
    <w:qFormat/>
    <w:uiPriority w:val="0"/>
  </w:style>
  <w:style w:type="paragraph" w:styleId="4">
    <w:name w:val="Title"/>
    <w:basedOn w:val="1"/>
    <w:qFormat/>
    <w:uiPriority w:val="0"/>
    <w:pPr>
      <w:spacing w:before="240" w:after="60"/>
      <w:jc w:val="center"/>
      <w:outlineLvl w:val="0"/>
    </w:pPr>
    <w:rPr>
      <w:rFonts w:ascii="Arial" w:hAnsi="Arial"/>
      <w:b/>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leftChars="200"/>
    </w:pPr>
    <w:rPr>
      <w:szCs w:val="24"/>
    </w:rPr>
  </w:style>
  <w:style w:type="paragraph" w:styleId="11">
    <w:name w:val="Block Text"/>
    <w:basedOn w:val="1"/>
    <w:qFormat/>
    <w:uiPriority w:val="0"/>
    <w:pPr>
      <w:spacing w:line="640" w:lineRule="exact"/>
      <w:ind w:left="210" w:leftChars="100" w:right="19" w:firstLine="525"/>
    </w:pPr>
    <w:rPr>
      <w:rFonts w:ascii="楷体_GB2312" w:eastAsia="楷体_GB2312"/>
      <w:b/>
      <w:spacing w:val="14"/>
      <w:sz w:val="28"/>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qFormat/>
    <w:uiPriority w:val="0"/>
    <w:pPr>
      <w:spacing w:after="120" w:line="480" w:lineRule="auto"/>
      <w:ind w:left="420" w:leftChars="200"/>
    </w:pPr>
  </w:style>
  <w:style w:type="paragraph" w:styleId="14">
    <w:name w:val="endnote text"/>
    <w:basedOn w:val="1"/>
    <w:next w:val="9"/>
    <w:qFormat/>
    <w:uiPriority w:val="0"/>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next w:val="17"/>
    <w:qFormat/>
    <w:uiPriority w:val="0"/>
    <w:pPr>
      <w:tabs>
        <w:tab w:val="center" w:pos="4153"/>
        <w:tab w:val="right" w:pos="8306"/>
      </w:tabs>
      <w:snapToGrid w:val="0"/>
      <w:jc w:val="center"/>
    </w:pPr>
    <w:rPr>
      <w:sz w:val="18"/>
      <w:szCs w:val="18"/>
    </w:rPr>
  </w:style>
  <w:style w:type="paragraph" w:customStyle="1" w:styleId="17">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pPr>
      <w:spacing w:after="120" w:line="480" w:lineRule="auto"/>
    </w:pPr>
    <w:rPr>
      <w:rFonts w:eastAsia="宋体"/>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22"/>
    <w:qFormat/>
    <w:uiPriority w:val="0"/>
    <w:pPr>
      <w:ind w:firstLine="420" w:firstLineChars="200"/>
    </w:pPr>
  </w:style>
  <w:style w:type="paragraph" w:customStyle="1" w:styleId="22">
    <w:name w:val="正文缩进1"/>
    <w:basedOn w:val="23"/>
    <w:qFormat/>
    <w:uiPriority w:val="0"/>
    <w:pPr>
      <w:spacing w:after="120"/>
      <w:ind w:left="420" w:leftChars="200"/>
    </w:pPr>
  </w:style>
  <w:style w:type="paragraph" w:customStyle="1" w:styleId="23">
    <w:name w:val="正文1"/>
    <w:next w:val="2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styleId="26">
    <w:name w:val="Strong"/>
    <w:basedOn w:val="25"/>
    <w:qFormat/>
    <w:uiPriority w:val="99"/>
    <w:rPr>
      <w:b/>
      <w:bCs/>
    </w:rPr>
  </w:style>
  <w:style w:type="character" w:styleId="27">
    <w:name w:val="page number"/>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0"/>
    <w:rPr>
      <w:color w:val="0000FF"/>
      <w:u w:val="single"/>
    </w:rPr>
  </w:style>
  <w:style w:type="paragraph" w:customStyle="1" w:styleId="30">
    <w:name w:val="样式 文字 + 首行缩进:  2 字符3"/>
    <w:basedOn w:val="1"/>
    <w:qFormat/>
    <w:uiPriority w:val="0"/>
    <w:pPr>
      <w:spacing w:line="360" w:lineRule="auto"/>
      <w:jc w:val="left"/>
    </w:pPr>
    <w:rPr>
      <w:sz w:val="28"/>
      <w:szCs w:val="28"/>
    </w:rPr>
  </w:style>
  <w:style w:type="paragraph" w:customStyle="1" w:styleId="31">
    <w:name w:val="TOC2"/>
    <w:basedOn w:val="1"/>
    <w:next w:val="1"/>
    <w:qFormat/>
    <w:uiPriority w:val="0"/>
    <w:pPr>
      <w:ind w:left="420" w:leftChars="200"/>
      <w:textAlignment w:val="baseline"/>
    </w:pPr>
  </w:style>
  <w:style w:type="character" w:customStyle="1" w:styleId="32">
    <w:name w:val="标题 2 字符"/>
    <w:link w:val="5"/>
    <w:qFormat/>
    <w:uiPriority w:val="0"/>
    <w:rPr>
      <w:rFonts w:ascii="等线 Light" w:hAnsi="等线 Light" w:eastAsia="黑体"/>
      <w:b/>
      <w:bCs/>
      <w:szCs w:val="32"/>
    </w:rPr>
  </w:style>
  <w:style w:type="paragraph" w:customStyle="1" w:styleId="33">
    <w:name w:val="BodyText"/>
    <w:basedOn w:val="1"/>
    <w:next w:val="1"/>
    <w:qFormat/>
    <w:uiPriority w:val="0"/>
    <w:pPr>
      <w:widowControl/>
      <w:spacing w:line="360" w:lineRule="auto"/>
      <w:ind w:firstLine="936"/>
      <w:jc w:val="left"/>
      <w:textAlignment w:val="baseline"/>
    </w:pPr>
    <w:rPr>
      <w:rFonts w:eastAsia="仿宋_GB2312"/>
      <w:sz w:val="28"/>
      <w:szCs w:val="24"/>
    </w:rPr>
  </w:style>
  <w:style w:type="paragraph" w:customStyle="1" w:styleId="34">
    <w:name w:val="正文首行缩进1"/>
    <w:basedOn w:val="9"/>
    <w:qFormat/>
    <w:uiPriority w:val="0"/>
    <w:pPr>
      <w:ind w:firstLine="420" w:firstLineChars="100"/>
    </w:pPr>
  </w:style>
  <w:style w:type="paragraph" w:customStyle="1" w:styleId="35">
    <w:name w:val="null3"/>
    <w:qFormat/>
    <w:uiPriority w:val="0"/>
    <w:pPr>
      <w:spacing w:after="160" w:line="278" w:lineRule="auto"/>
    </w:pPr>
    <w:rPr>
      <w:rFonts w:hint="eastAsia" w:ascii="Calibri" w:hAnsi="Calibri" w:eastAsia="宋体" w:cs="宋体"/>
      <w:lang w:val="en-US" w:bidi="ar-SA"/>
    </w:rPr>
  </w:style>
  <w:style w:type="character" w:customStyle="1" w:styleId="36">
    <w:name w:val="font112"/>
    <w:basedOn w:val="25"/>
    <w:qFormat/>
    <w:uiPriority w:val="0"/>
    <w:rPr>
      <w:rFonts w:ascii="方正书宋_GBK" w:hAnsi="方正书宋_GBK" w:eastAsia="方正书宋_GBK" w:cs="方正书宋_GBK"/>
      <w:color w:val="000000"/>
      <w:sz w:val="18"/>
      <w:szCs w:val="18"/>
      <w:u w:val="none"/>
    </w:rPr>
  </w:style>
  <w:style w:type="character" w:customStyle="1" w:styleId="37">
    <w:name w:val="font41"/>
    <w:basedOn w:val="2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1469</Words>
  <Characters>1510</Characters>
  <Paragraphs>41</Paragraphs>
  <TotalTime>24</TotalTime>
  <ScaleCrop>false</ScaleCrop>
  <LinksUpToDate>false</LinksUpToDate>
  <CharactersWithSpaces>1510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2025-11-06T22:45:00Z</dcterms:created>
  <dc:creator>LCT</dc:creator>
  <cp:lastModifiedBy>greatwall</cp:lastModifiedBy>
  <cp:lastPrinted>2026-03-31T03:34:00Z</cp:lastPrinted>
  <dcterms:modified xsi:type="dcterms:W3CDTF">2026-04-07T09:43:40Z</dcterms:modified>
  <dc:title>办文说明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340E7A7871CD49DAB7C2587854EEE9D7_13</vt:lpwstr>
  </property>
  <property fmtid="{D5CDD505-2E9C-101B-9397-08002B2CF9AE}" pid="4" name="KSOTemplateDocerSaveRecord">
    <vt:lpwstr>eyJoZGlkIjoiZTI5N2IzNjFjZjE3Yjk4OThkNWQ0ZTFiZDZiYjZiMTciLCJ1c2VySWQiOiIxNTg4MTM4Nzk4In0=</vt:lpwstr>
  </property>
</Properties>
</file>