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eastAsia="黑体"/>
          <w:bCs/>
          <w:kern w:val="0"/>
          <w:sz w:val="32"/>
          <w:szCs w:val="32"/>
          <w:shd w:val="clear" w:color="auto" w:fill="FFFFFF"/>
        </w:rPr>
        <w:t>附件3</w:t>
      </w:r>
    </w:p>
    <w:p>
      <w:pPr>
        <w:spacing w:line="580" w:lineRule="exact"/>
        <w:rPr>
          <w:rFonts w:hint="eastAsia" w:eastAsia="仿宋_GB2312"/>
          <w:bCs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eastAsia="方正小标宋简体"/>
          <w:bCs/>
          <w:kern w:val="0"/>
          <w:sz w:val="40"/>
          <w:szCs w:val="40"/>
          <w:shd w:val="clear" w:color="auto" w:fill="FFFFFF"/>
        </w:rPr>
      </w:pPr>
      <w:bookmarkStart w:id="0" w:name="_GoBack"/>
      <w:r>
        <w:rPr>
          <w:rFonts w:eastAsia="方正小标宋简体"/>
          <w:bCs/>
          <w:kern w:val="0"/>
          <w:sz w:val="40"/>
          <w:szCs w:val="40"/>
          <w:shd w:val="clear" w:color="auto" w:fill="FFFFFF"/>
        </w:rPr>
        <w:t>企业研发准备金制度</w:t>
      </w:r>
      <w:r>
        <w:rPr>
          <w:rFonts w:hint="eastAsia" w:eastAsia="方正小标宋简体"/>
          <w:bCs/>
          <w:kern w:val="0"/>
          <w:sz w:val="40"/>
          <w:szCs w:val="40"/>
          <w:shd w:val="clear" w:color="auto" w:fill="FFFFFF"/>
        </w:rPr>
        <w:t>内容提纲</w:t>
      </w:r>
      <w:bookmarkEnd w:id="0"/>
    </w:p>
    <w:p>
      <w:pPr>
        <w:spacing w:line="580" w:lineRule="exact"/>
        <w:jc w:val="center"/>
        <w:rPr>
          <w:rFonts w:eastAsia="方正小标宋简体"/>
          <w:bCs/>
          <w:kern w:val="0"/>
          <w:sz w:val="40"/>
          <w:szCs w:val="40"/>
          <w:shd w:val="clear" w:color="auto" w:fill="FFFFFF"/>
        </w:rPr>
      </w:pPr>
      <w:r>
        <w:rPr>
          <w:rFonts w:eastAsia="方正小标宋简体"/>
          <w:bCs/>
          <w:kern w:val="0"/>
          <w:sz w:val="40"/>
          <w:szCs w:val="40"/>
          <w:shd w:val="clear" w:color="auto" w:fill="FFFFFF"/>
        </w:rPr>
        <w:t>（参考模板）</w:t>
      </w:r>
    </w:p>
    <w:p>
      <w:pPr>
        <w:widowControl/>
        <w:snapToGrid w:val="0"/>
        <w:spacing w:line="580" w:lineRule="exact"/>
        <w:ind w:firstLine="640" w:firstLineChars="200"/>
        <w:rPr>
          <w:rFonts w:eastAsia="方正仿宋_GBK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第一章  总则</w:t>
      </w:r>
    </w:p>
    <w:p>
      <w:pPr>
        <w:widowControl/>
        <w:snapToGrid w:val="0"/>
        <w:spacing w:line="560" w:lineRule="exact"/>
        <w:ind w:firstLine="592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包括制定目的、意义、依据、研发准备金概念、适用范围等内容。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第二章  提取与分配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包括计提依据、计提比率、计提时间以及在各研发项目间的分配等内容。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第三章  使用范围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包括研发准备金的开支范围和标准，亦即研发经费的开支范围和标准，以及不可列支范围。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第四章  管理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包括研发准备金的管理流程、部门职责分工、审批/报销程序，研发经费预算、研发经费支出台账管理等内容。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第五章  核算、报告与披露（或财务处理）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包括研发准备金的计提、转回，以及研发经费支出、研究开发费用归集等事项的会计核算处理，在会计报表中的列示，在附注中的信息披露，以及研发准备金的纳税调整等内容。</w:t>
      </w:r>
    </w:p>
    <w:p>
      <w:pPr>
        <w:widowControl/>
        <w:snapToGrid w:val="0"/>
        <w:spacing w:line="560" w:lineRule="exact"/>
        <w:ind w:firstLine="640" w:firstLineChars="20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第六章  附则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上述各章未尽事项，可在本章中明确。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F6B54"/>
    <w:rsid w:val="616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2020-03-09T02:54:00Z</dcterms:created>
  <dc:creator>小A</dc:creator>
  <cp:lastModifiedBy>小A</cp:lastModifiedBy>
  <dcterms:modified xsi:type="dcterms:W3CDTF">2020-03-09T02:55:23Z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